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397" w:rsidRDefault="00BE0397">
      <w:pPr>
        <w:spacing w:line="480" w:lineRule="auto"/>
        <w:jc w:val="center"/>
        <w:rPr>
          <w:rFonts w:ascii="Times New Roman" w:eastAsia="Times New Roman" w:hAnsi="Times New Roman" w:cs="Times New Roman"/>
          <w:sz w:val="24"/>
          <w:szCs w:val="24"/>
        </w:rPr>
      </w:pPr>
    </w:p>
    <w:p w:rsidR="00BE0397" w:rsidRDefault="00BE0397">
      <w:pPr>
        <w:spacing w:line="480" w:lineRule="auto"/>
        <w:rPr>
          <w:rFonts w:ascii="Times New Roman" w:eastAsia="Times New Roman" w:hAnsi="Times New Roman" w:cs="Times New Roman"/>
          <w:sz w:val="24"/>
          <w:szCs w:val="24"/>
        </w:rPr>
      </w:pP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STRATEGIC AND FINANCIAL MAKING DECISION</w:t>
      </w:r>
    </w:p>
    <w:p w:rsidR="00BE0397" w:rsidRDefault="00FB3CE8">
      <w:pPr>
        <w:spacing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by</w:t>
      </w:r>
      <w:proofErr w:type="gramEnd"/>
      <w:r>
        <w:rPr>
          <w:rFonts w:ascii="Times New Roman" w:eastAsia="Times New Roman" w:hAnsi="Times New Roman" w:cs="Times New Roman"/>
          <w:sz w:val="24"/>
          <w:szCs w:val="24"/>
        </w:rPr>
        <w:t xml:space="preserve"> (name)</w:t>
      </w:r>
    </w:p>
    <w:p w:rsidR="00BE0397" w:rsidRDefault="00BE0397">
      <w:pPr>
        <w:spacing w:line="480" w:lineRule="auto"/>
        <w:jc w:val="center"/>
        <w:rPr>
          <w:rFonts w:ascii="Times New Roman" w:eastAsia="Times New Roman" w:hAnsi="Times New Roman" w:cs="Times New Roman"/>
          <w:sz w:val="24"/>
          <w:szCs w:val="24"/>
        </w:rPr>
      </w:pPr>
    </w:p>
    <w:p w:rsidR="00BE0397" w:rsidRDefault="00BE0397">
      <w:pPr>
        <w:spacing w:line="480" w:lineRule="auto"/>
        <w:jc w:val="center"/>
        <w:rPr>
          <w:rFonts w:ascii="Times New Roman" w:eastAsia="Times New Roman" w:hAnsi="Times New Roman" w:cs="Times New Roman"/>
          <w:sz w:val="24"/>
          <w:szCs w:val="24"/>
        </w:rPr>
      </w:pPr>
    </w:p>
    <w:p w:rsidR="00BE0397" w:rsidRDefault="00BE0397">
      <w:pPr>
        <w:spacing w:line="480" w:lineRule="auto"/>
        <w:jc w:val="center"/>
        <w:rPr>
          <w:rFonts w:ascii="Times New Roman" w:eastAsia="Times New Roman" w:hAnsi="Times New Roman" w:cs="Times New Roman"/>
          <w:sz w:val="24"/>
          <w:szCs w:val="24"/>
        </w:rPr>
      </w:pPr>
    </w:p>
    <w:p w:rsidR="00BE0397" w:rsidRDefault="00BE0397">
      <w:pPr>
        <w:spacing w:line="480" w:lineRule="auto"/>
        <w:jc w:val="center"/>
        <w:rPr>
          <w:rFonts w:ascii="Times New Roman" w:eastAsia="Times New Roman" w:hAnsi="Times New Roman" w:cs="Times New Roman"/>
          <w:sz w:val="24"/>
          <w:szCs w:val="24"/>
        </w:rPr>
      </w:pPr>
    </w:p>
    <w:p w:rsidR="00BE0397" w:rsidRDefault="00BE0397">
      <w:pPr>
        <w:spacing w:line="480" w:lineRule="auto"/>
        <w:jc w:val="center"/>
        <w:rPr>
          <w:rFonts w:ascii="Times New Roman" w:eastAsia="Times New Roman" w:hAnsi="Times New Roman" w:cs="Times New Roman"/>
          <w:sz w:val="24"/>
          <w:szCs w:val="24"/>
        </w:rPr>
      </w:pPr>
    </w:p>
    <w:p w:rsidR="00BE0397" w:rsidRDefault="00BE0397">
      <w:pPr>
        <w:spacing w:line="480" w:lineRule="auto"/>
        <w:rPr>
          <w:rFonts w:ascii="Times New Roman" w:eastAsia="Times New Roman" w:hAnsi="Times New Roman" w:cs="Times New Roman"/>
          <w:sz w:val="24"/>
          <w:szCs w:val="24"/>
        </w:rPr>
      </w:pP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Name of the Class (Course) </w:t>
      </w: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 (Tutor) </w:t>
      </w: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Name of the School (University)</w:t>
      </w: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City and State where it is located </w:t>
      </w: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Date</w:t>
      </w:r>
    </w:p>
    <w:p w:rsidR="00BE0397" w:rsidRDefault="00FB3CE8">
      <w:pPr>
        <w:rPr>
          <w:rFonts w:ascii="Times New Roman" w:eastAsia="Times New Roman" w:hAnsi="Times New Roman" w:cs="Times New Roman"/>
          <w:sz w:val="24"/>
          <w:szCs w:val="24"/>
        </w:rPr>
      </w:pPr>
      <w:r>
        <w:br w:type="page"/>
      </w: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Strategic and Financial Making Decision</w:t>
      </w:r>
    </w:p>
    <w:p w:rsidR="00BE0397" w:rsidRDefault="00FB3CE8">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1</w:t>
      </w:r>
    </w:p>
    <w:p w:rsidR="00BE0397" w:rsidRDefault="00FB3CE8">
      <w:pPr>
        <w:spacing w:line="480"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The real values of savings after inflation:</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Real value=</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1+I)^n where A is the value before inflation is considered and I is the inflation rate</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(1+0.06)^1=£ 4.77M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7.00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(1+0.06)^2=£ 7.8652M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14.00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(1+0.06)^3=£ 16.674224M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12.40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(1+0.06)^4=£ 15.6547143M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8.75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(1+0.06)^5=£ 11.7094738M</w:t>
      </w:r>
    </w:p>
    <w:p w:rsidR="00BE0397" w:rsidRDefault="00BE0397">
      <w:pPr>
        <w:spacing w:line="480" w:lineRule="auto"/>
        <w:rPr>
          <w:rFonts w:ascii="Times New Roman" w:eastAsia="Times New Roman" w:hAnsi="Times New Roman" w:cs="Times New Roman"/>
          <w:sz w:val="24"/>
          <w:szCs w:val="24"/>
        </w:rPr>
      </w:pP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real values of cash operational outflow after inflation:</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(1+0.04) ^1=£ 1.56M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(1+0.04) ^2=£ 3.2448M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(1+0.04) ^3=£ 6.749184M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5.40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(1+0.04)^4=£ 6.317236224M</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3.75 </w:t>
      </w:r>
      <w:proofErr w:type="gramStart"/>
      <w:r>
        <w:rPr>
          <w:rFonts w:ascii="Times New Roman" w:eastAsia="Times New Roman" w:hAnsi="Times New Roman" w:cs="Times New Roman"/>
          <w:sz w:val="24"/>
          <w:szCs w:val="24"/>
        </w:rPr>
        <w:t>x</w:t>
      </w:r>
      <w:proofErr w:type="gramEnd"/>
      <w:r>
        <w:rPr>
          <w:rFonts w:ascii="Times New Roman" w:eastAsia="Times New Roman" w:hAnsi="Times New Roman" w:cs="Times New Roman"/>
          <w:sz w:val="24"/>
          <w:szCs w:val="24"/>
        </w:rPr>
        <w:t xml:space="preserve"> (1+0.04)^5=£ 4.562448384M</w:t>
      </w:r>
    </w:p>
    <w:p w:rsidR="00BE0397" w:rsidRDefault="00FB3CE8">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NPV =∑ </w:t>
      </w:r>
      <w:proofErr w:type="gramStart"/>
      <w:r>
        <w:rPr>
          <w:rFonts w:ascii="Times New Roman" w:eastAsia="Times New Roman" w:hAnsi="Times New Roman" w:cs="Times New Roman"/>
          <w:b/>
          <w:sz w:val="24"/>
          <w:szCs w:val="24"/>
        </w:rPr>
        <w:t>Ct(</w:t>
      </w:r>
      <w:proofErr w:type="gramEnd"/>
      <w:r>
        <w:rPr>
          <w:rFonts w:ascii="Times New Roman" w:eastAsia="Times New Roman" w:hAnsi="Times New Roman" w:cs="Times New Roman"/>
          <w:b/>
          <w:sz w:val="24"/>
          <w:szCs w:val="24"/>
        </w:rPr>
        <w:t>1+i)^-n</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37"/>
        <w:gridCol w:w="2337"/>
        <w:gridCol w:w="2338"/>
        <w:gridCol w:w="2338"/>
      </w:tblGrid>
      <w:tr w:rsidR="00BE0397">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YEAR</w:t>
            </w:r>
          </w:p>
        </w:tc>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CASH FLOW(m)</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DISCOUNT FACTOR (10.5%)</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 VALUES</w:t>
            </w:r>
          </w:p>
        </w:tc>
      </w:tr>
      <w:tr w:rsidR="00BE0397">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r>
      <w:tr w:rsidR="00BE0397">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+4.77</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0.904977375</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4.316742081</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-1.411764706</w:t>
            </w:r>
          </w:p>
        </w:tc>
      </w:tr>
      <w:tr w:rsidR="00BE0397">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7.8652</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-3.2448</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0.81898405</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6.441473352</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-2.657439446</w:t>
            </w:r>
          </w:p>
        </w:tc>
      </w:tr>
      <w:tr w:rsidR="00BE0397">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+16.674224</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-6.749184</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0.741162036</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12.35830182</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-5.002238958</w:t>
            </w:r>
          </w:p>
        </w:tc>
      </w:tr>
      <w:tr w:rsidR="00BE0397">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+15.6547143</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-6.317236224</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0.670734874</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10,50016283</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-4.237190657</w:t>
            </w:r>
          </w:p>
        </w:tc>
      </w:tr>
      <w:tr w:rsidR="00BE0397">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7"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+11.7094738</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-4,563446384</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0. 6069999886</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7.107649268</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-2.76974</w:t>
            </w:r>
          </w:p>
        </w:tc>
      </w:tr>
      <w:tr w:rsidR="00BE0397">
        <w:tc>
          <w:tcPr>
            <w:tcW w:w="2337" w:type="dxa"/>
          </w:tcPr>
          <w:p w:rsidR="00BE0397" w:rsidRDefault="00BE0397">
            <w:pPr>
              <w:spacing w:line="480" w:lineRule="auto"/>
              <w:rPr>
                <w:rFonts w:ascii="Times New Roman" w:eastAsia="Times New Roman" w:hAnsi="Times New Roman" w:cs="Times New Roman"/>
                <w:sz w:val="24"/>
                <w:szCs w:val="24"/>
              </w:rPr>
            </w:pPr>
          </w:p>
        </w:tc>
        <w:tc>
          <w:tcPr>
            <w:tcW w:w="2337" w:type="dxa"/>
          </w:tcPr>
          <w:p w:rsidR="00BE0397" w:rsidRDefault="00BE0397">
            <w:pPr>
              <w:spacing w:line="480" w:lineRule="auto"/>
              <w:rPr>
                <w:rFonts w:ascii="Times New Roman" w:eastAsia="Times New Roman" w:hAnsi="Times New Roman" w:cs="Times New Roman"/>
                <w:sz w:val="24"/>
                <w:szCs w:val="24"/>
              </w:rPr>
            </w:pP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NPV</w:t>
            </w:r>
          </w:p>
        </w:tc>
        <w:tc>
          <w:tcPr>
            <w:tcW w:w="2338" w:type="dxa"/>
          </w:tcPr>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=£ 9.241317558 m</w:t>
            </w:r>
          </w:p>
        </w:tc>
      </w:tr>
    </w:tbl>
    <w:p w:rsidR="00BE0397" w:rsidRDefault="00BE0397">
      <w:pPr>
        <w:spacing w:line="480" w:lineRule="auto"/>
        <w:rPr>
          <w:rFonts w:ascii="Times New Roman" w:eastAsia="Times New Roman" w:hAnsi="Times New Roman" w:cs="Times New Roman"/>
          <w:sz w:val="24"/>
          <w:szCs w:val="24"/>
        </w:rPr>
      </w:pP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Summing all the present values to get the NPV;</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-14.5+4.316742081-1.411764706+6.441473352-2.657439446+12.35830182-5.002238958+10</w:t>
      </w:r>
      <w:proofErr w:type="gramStart"/>
      <w:r>
        <w:rPr>
          <w:rFonts w:ascii="Times New Roman" w:eastAsia="Times New Roman" w:hAnsi="Times New Roman" w:cs="Times New Roman"/>
          <w:sz w:val="24"/>
          <w:szCs w:val="24"/>
        </w:rPr>
        <w:t>,50016283</w:t>
      </w:r>
      <w:proofErr w:type="gramEnd"/>
      <w:r>
        <w:rPr>
          <w:rFonts w:ascii="Times New Roman" w:eastAsia="Times New Roman" w:hAnsi="Times New Roman" w:cs="Times New Roman"/>
          <w:sz w:val="24"/>
          <w:szCs w:val="24"/>
        </w:rPr>
        <w:t>-4.237190657+7.107649268-2.76974==£ 9.241317558 m</w:t>
      </w:r>
    </w:p>
    <w:p w:rsidR="00BE0397" w:rsidRDefault="00FB3CE8">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taxation NPV=9.241317558*0.72= £ 6.653748642</w:t>
      </w:r>
    </w:p>
    <w:p w:rsidR="00BE0397" w:rsidRDefault="00FB3CE8">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Alternatively, </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NPV=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4.77</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1</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7.8652</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2</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16.674224</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3</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15.6547143</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4</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11.7094738</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5</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11</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1</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1.56</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1</m:t>
                </m:r>
              </m:sup>
            </m:sSup>
          </m:den>
        </m:f>
      </m:oMath>
      <w:r>
        <w:rPr>
          <w:rFonts w:ascii="Times New Roman" w:eastAsia="Times New Roman" w:hAnsi="Times New Roman" w:cs="Times New Roman"/>
          <w:sz w:val="24"/>
          <w:szCs w:val="24"/>
        </w:rPr>
        <w:t xml:space="preserve">-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3.2448</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2</m:t>
                </m:r>
              </m:sup>
            </m:sSup>
          </m:den>
        </m:f>
      </m:oMath>
      <w:r>
        <w:rPr>
          <w:rFonts w:ascii="Times New Roman" w:eastAsia="Times New Roman" w:hAnsi="Times New Roman" w:cs="Times New Roman"/>
          <w:sz w:val="24"/>
          <w:szCs w:val="24"/>
        </w:rPr>
        <w:t xml:space="preserve">-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6.749184</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3</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6.3172362241</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4</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4.562448384</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5</m:t>
                </m:r>
              </m:sup>
            </m:sSup>
          </m:den>
        </m:f>
      </m:oMath>
    </w:p>
    <w:p w:rsidR="00BE0397" w:rsidRDefault="00BE0397">
      <w:pPr>
        <w:spacing w:line="480" w:lineRule="auto"/>
        <w:rPr>
          <w:rFonts w:ascii="Times New Roman" w:eastAsia="Times New Roman" w:hAnsi="Times New Roman" w:cs="Times New Roman"/>
          <w:sz w:val="24"/>
          <w:szCs w:val="24"/>
        </w:rPr>
      </w:pP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=£ 9.241317558M</w:t>
      </w:r>
    </w:p>
    <w:p w:rsidR="00BE0397" w:rsidRDefault="00FB3CE8">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taxation NPV=9.241317558 x 0.72= £ 6.653748642</w:t>
      </w:r>
    </w:p>
    <w:p w:rsidR="00BE0397" w:rsidRDefault="00FB3CE8">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rate of return</w:t>
      </w:r>
    </w:p>
    <w:p w:rsidR="00BE0397" w:rsidRDefault="00FB3CE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rate of return for an investment project is the effective rate of interest that</w:t>
      </w:r>
    </w:p>
    <w:p w:rsidR="00BE0397" w:rsidRDefault="00FB3CE8">
      <w:pPr>
        <w:spacing w:after="0"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equates</w:t>
      </w:r>
      <w:proofErr w:type="gramEnd"/>
      <w:r>
        <w:rPr>
          <w:rFonts w:ascii="Times New Roman" w:eastAsia="Times New Roman" w:hAnsi="Times New Roman" w:cs="Times New Roman"/>
          <w:sz w:val="24"/>
          <w:szCs w:val="24"/>
        </w:rPr>
        <w:t xml:space="preserve"> the present value of income and outgo, that is it makes the net present value of the</w:t>
      </w:r>
    </w:p>
    <w:p w:rsidR="00BE0397" w:rsidRDefault="00FB3CE8">
      <w:pPr>
        <w:spacing w:before="240" w:line="48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cashflows</w:t>
      </w:r>
      <w:proofErr w:type="spellEnd"/>
      <w:proofErr w:type="gramEnd"/>
      <w:r>
        <w:rPr>
          <w:rFonts w:ascii="Times New Roman" w:eastAsia="Times New Roman" w:hAnsi="Times New Roman" w:cs="Times New Roman"/>
          <w:sz w:val="24"/>
          <w:szCs w:val="24"/>
        </w:rPr>
        <w:t xml:space="preserve"> equal to zero.</w:t>
      </w:r>
    </w:p>
    <w:p w:rsidR="00BE0397" w:rsidRDefault="00FB3CE8">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Finding IRR is gotten by the working below;</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4.77</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1</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7.8652</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2</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16.674224</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3</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15.6547143</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4</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11.7094738</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5</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11</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1</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1.56</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1</m:t>
                </m:r>
              </m:sup>
            </m:sSup>
          </m:den>
        </m:f>
      </m:oMath>
      <w:r>
        <w:rPr>
          <w:rFonts w:ascii="Times New Roman" w:eastAsia="Times New Roman" w:hAnsi="Times New Roman" w:cs="Times New Roman"/>
          <w:sz w:val="24"/>
          <w:szCs w:val="24"/>
        </w:rPr>
        <w:t xml:space="preserve">-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3.2448</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2</m:t>
                </m:r>
              </m:sup>
            </m:sSup>
          </m:den>
        </m:f>
      </m:oMath>
      <w:r>
        <w:rPr>
          <w:rFonts w:ascii="Times New Roman" w:eastAsia="Times New Roman" w:hAnsi="Times New Roman" w:cs="Times New Roman"/>
          <w:sz w:val="24"/>
          <w:szCs w:val="24"/>
        </w:rPr>
        <w:t xml:space="preserve">-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6.749184</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3</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6.3172362241</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4</m:t>
                </m:r>
              </m:sup>
            </m:sSup>
          </m:den>
        </m:f>
      </m:oMath>
      <w:r>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4.562448384</m:t>
            </m:r>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1.105</m:t>
                </m:r>
              </m:e>
              <m:sup>
                <m:r>
                  <w:rPr>
                    <w:rFonts w:ascii="Cambria Math" w:eastAsia="Cambria Math" w:hAnsi="Cambria Math" w:cs="Cambria Math"/>
                    <w:sz w:val="24"/>
                    <w:szCs w:val="24"/>
                  </w:rPr>
                  <m:t>5</m:t>
                </m:r>
              </m:sup>
            </m:sSup>
          </m:den>
        </m:f>
      </m:oMath>
      <w:r>
        <w:rPr>
          <w:rFonts w:ascii="Times New Roman" w:eastAsia="Times New Roman" w:hAnsi="Times New Roman" w:cs="Times New Roman"/>
          <w:sz w:val="24"/>
          <w:szCs w:val="24"/>
        </w:rPr>
        <w:t>=0</w:t>
      </w:r>
    </w:p>
    <w:p w:rsidR="00BE0397" w:rsidRDefault="00BE0397">
      <w:pPr>
        <w:spacing w:line="480" w:lineRule="auto"/>
        <w:rPr>
          <w:rFonts w:ascii="Times New Roman" w:eastAsia="Times New Roman" w:hAnsi="Times New Roman" w:cs="Times New Roman"/>
          <w:sz w:val="24"/>
          <w:szCs w:val="24"/>
        </w:rPr>
      </w:pP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Finding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in the equation which is the IRR</w:t>
      </w:r>
    </w:p>
    <w:p w:rsidR="00BE0397" w:rsidRDefault="00FB3C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5%=2.43358</w:t>
      </w:r>
    </w:p>
    <w:p w:rsidR="00BE0397" w:rsidRDefault="00FB3CE8">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-1.4368</w:t>
      </w:r>
    </w:p>
    <w:p w:rsidR="00BE0397" w:rsidRDefault="00AC2ED1">
      <w:pPr>
        <w:spacing w:before="240" w:line="480" w:lineRule="auto"/>
        <w:rPr>
          <w:rFonts w:ascii="Times New Roman" w:eastAsia="Times New Roman" w:hAnsi="Times New Roman" w:cs="Times New Roman"/>
          <w:sz w:val="24"/>
          <w:szCs w:val="24"/>
        </w:rPr>
      </w:pP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i-0.04</m:t>
            </m:r>
          </m:num>
          <m:den>
            <m:r>
              <w:rPr>
                <w:rFonts w:ascii="Cambria Math" w:eastAsia="Cambria Math" w:hAnsi="Cambria Math" w:cs="Cambria Math"/>
                <w:sz w:val="24"/>
                <w:szCs w:val="24"/>
              </w:rPr>
              <m:t>0.05-0.04</m:t>
            </m:r>
          </m:den>
        </m:f>
      </m:oMath>
      <w:r w:rsidR="00FB3CE8">
        <w:rPr>
          <w:rFonts w:ascii="Times New Roman" w:eastAsia="Times New Roman" w:hAnsi="Times New Roman" w:cs="Times New Roman"/>
          <w:sz w:val="24"/>
          <w:szCs w:val="24"/>
        </w:rPr>
        <w:t>=</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0-2.43358</m:t>
            </m:r>
          </m:num>
          <m:den>
            <m:r>
              <w:rPr>
                <w:rFonts w:ascii="Cambria Math" w:eastAsia="Cambria Math" w:hAnsi="Cambria Math" w:cs="Cambria Math"/>
                <w:sz w:val="24"/>
                <w:szCs w:val="24"/>
              </w:rPr>
              <m:t>2.43358--1.4368</m:t>
            </m:r>
          </m:den>
        </m:f>
      </m:oMath>
    </w:p>
    <w:p w:rsidR="00BE0397" w:rsidRDefault="00FB3CE8">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 IRR= 4.06%</w:t>
      </w:r>
    </w:p>
    <w:p w:rsidR="00BE0397" w:rsidRDefault="00FB3CE8">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investment is financially worthwhile since the net present value is positive and the IRR is high.</w:t>
      </w:r>
    </w:p>
    <w:p w:rsidR="00BE0397" w:rsidRDefault="00FB3CE8">
      <w:pPr>
        <w:spacing w:before="240" w:line="480" w:lineRule="auto"/>
        <w:rPr>
          <w:rFonts w:ascii="Times New Roman" w:eastAsia="Times New Roman" w:hAnsi="Times New Roman" w:cs="Times New Roman"/>
          <w:sz w:val="24"/>
          <w:szCs w:val="24"/>
        </w:rPr>
      </w:pPr>
      <w:bookmarkStart w:id="1" w:name="_30j0zll" w:colFirst="0" w:colLast="0"/>
      <w:bookmarkEnd w:id="1"/>
      <w:r>
        <w:rPr>
          <w:rFonts w:ascii="Times New Roman" w:eastAsia="Times New Roman" w:hAnsi="Times New Roman" w:cs="Times New Roman"/>
          <w:sz w:val="24"/>
          <w:szCs w:val="24"/>
        </w:rPr>
        <w:t>b) The best method to use is NPV. This is because NPV gives the actual size of the gain. In IRR considering timing may be difficult resulting into inaccurate results thus giving wrong impression. NPV also measures the stock contribution to the stockholders. Hence it is better for the company to consider NPV.</w:t>
      </w:r>
    </w:p>
    <w:p w:rsidR="00BE0397" w:rsidRDefault="00FB3CE8">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2</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two firms being in the different sectors, they are bound to have different beta values over a period of time. This difference is justified on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July 2018 where the beta value of Tesco PLC is stated to be 0.49 while on the same day the beta value of Intercontinental Hotels Group PLC is found to be 1.18. There are two main factors behind the disparity between the beta values of the two firms in question. One of the reasons in charge of the difference the two firms have a different capital structure and thus this may also bring out the difference in the beta values. “It is possible that Tesco PLC capital structure is lower than that of Intercontinental Hotels Group PLC and this comes out as the main reason why the beta value of the Tesco PLC is lower, </w:t>
      </w:r>
      <w:proofErr w:type="spellStart"/>
      <w:r>
        <w:rPr>
          <w:rFonts w:ascii="Times New Roman" w:eastAsia="Times New Roman" w:hAnsi="Times New Roman" w:cs="Times New Roman"/>
          <w:color w:val="222222"/>
          <w:sz w:val="24"/>
          <w:szCs w:val="24"/>
          <w:highlight w:val="white"/>
        </w:rPr>
        <w:t>Corbet</w:t>
      </w:r>
      <w:proofErr w:type="spellEnd"/>
      <w:r>
        <w:rPr>
          <w:rFonts w:ascii="Times New Roman" w:eastAsia="Times New Roman" w:hAnsi="Times New Roman" w:cs="Times New Roman"/>
          <w:color w:val="222222"/>
          <w:sz w:val="24"/>
          <w:szCs w:val="24"/>
          <w:highlight w:val="white"/>
        </w:rPr>
        <w:t xml:space="preserve"> and McMullan (2018)”</w:t>
      </w:r>
      <w:r>
        <w:rPr>
          <w:rFonts w:ascii="Times New Roman" w:eastAsia="Times New Roman" w:hAnsi="Times New Roman" w:cs="Times New Roman"/>
          <w:sz w:val="24"/>
          <w:szCs w:val="24"/>
        </w:rPr>
        <w:t xml:space="preserve">. Secondly, the other reason why there is a difference between the two </w:t>
      </w:r>
      <w:proofErr w:type="gramStart"/>
      <w:r>
        <w:rPr>
          <w:rFonts w:ascii="Times New Roman" w:eastAsia="Times New Roman" w:hAnsi="Times New Roman" w:cs="Times New Roman"/>
          <w:sz w:val="24"/>
          <w:szCs w:val="24"/>
        </w:rPr>
        <w:t>firms</w:t>
      </w:r>
      <w:proofErr w:type="gramEnd"/>
      <w:r>
        <w:rPr>
          <w:rFonts w:ascii="Times New Roman" w:eastAsia="Times New Roman" w:hAnsi="Times New Roman" w:cs="Times New Roman"/>
          <w:sz w:val="24"/>
          <w:szCs w:val="24"/>
        </w:rPr>
        <w:t xml:space="preserve"> beta values is due to the different risks that are faced by individual firms taking it consideration they are in different sectors. There is a high possibility that Intercontinental Hotels Group PLC has more risks than Tesco PLC and hence the higher beta value.</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Calculating the beta value is very crucial for every firm out there. The beta value helps the firm to know how sensitive their stock price is at the current systematic risk. “The systematic risk is derived by having a look at the return from a market portfolio which later acts as a stand-in for various capital markets, </w:t>
      </w:r>
      <w:proofErr w:type="spellStart"/>
      <w:r>
        <w:rPr>
          <w:rFonts w:ascii="Times New Roman" w:eastAsia="Times New Roman" w:hAnsi="Times New Roman" w:cs="Times New Roman"/>
          <w:color w:val="222222"/>
          <w:sz w:val="24"/>
          <w:szCs w:val="24"/>
          <w:highlight w:val="white"/>
        </w:rPr>
        <w:t>Dey</w:t>
      </w:r>
      <w:proofErr w:type="spellEnd"/>
      <w:r>
        <w:rPr>
          <w:rFonts w:ascii="Times New Roman" w:eastAsia="Times New Roman" w:hAnsi="Times New Roman" w:cs="Times New Roman"/>
          <w:color w:val="222222"/>
          <w:sz w:val="24"/>
          <w:szCs w:val="24"/>
          <w:highlight w:val="white"/>
        </w:rPr>
        <w:t xml:space="preserve"> and </w:t>
      </w:r>
      <w:proofErr w:type="spellStart"/>
      <w:r>
        <w:rPr>
          <w:rFonts w:ascii="Times New Roman" w:eastAsia="Times New Roman" w:hAnsi="Times New Roman" w:cs="Times New Roman"/>
          <w:color w:val="222222"/>
          <w:sz w:val="24"/>
          <w:szCs w:val="24"/>
          <w:highlight w:val="white"/>
        </w:rPr>
        <w:t>Saha</w:t>
      </w:r>
      <w:proofErr w:type="spellEnd"/>
      <w:r>
        <w:rPr>
          <w:rFonts w:ascii="Times New Roman" w:eastAsia="Times New Roman" w:hAnsi="Times New Roman" w:cs="Times New Roman"/>
          <w:color w:val="222222"/>
          <w:sz w:val="24"/>
          <w:szCs w:val="24"/>
          <w:highlight w:val="white"/>
        </w:rPr>
        <w:t xml:space="preserve"> (2018)”</w:t>
      </w:r>
      <w:r>
        <w:rPr>
          <w:rFonts w:ascii="Times New Roman" w:eastAsia="Times New Roman" w:hAnsi="Times New Roman" w:cs="Times New Roman"/>
          <w:sz w:val="24"/>
          <w:szCs w:val="24"/>
        </w:rPr>
        <w:t xml:space="preserve">. Calculating beta value a firm is able to know how much their individual stock price is fluctuating and compare it to the overall stock fluctuation over a period of time. This becomes crucial since stock prices fluctuate after every minute and thus the beta values give </w:t>
      </w:r>
      <w:proofErr w:type="gramStart"/>
      <w:r>
        <w:rPr>
          <w:rFonts w:ascii="Times New Roman" w:eastAsia="Times New Roman" w:hAnsi="Times New Roman" w:cs="Times New Roman"/>
          <w:sz w:val="24"/>
          <w:szCs w:val="24"/>
        </w:rPr>
        <w:t>a firm a go-ahead as far as the investment decisions are</w:t>
      </w:r>
      <w:proofErr w:type="gramEnd"/>
      <w:r>
        <w:rPr>
          <w:rFonts w:ascii="Times New Roman" w:eastAsia="Times New Roman" w:hAnsi="Times New Roman" w:cs="Times New Roman"/>
          <w:sz w:val="24"/>
          <w:szCs w:val="24"/>
        </w:rPr>
        <w:t xml:space="preserve"> concerned.</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Beta values have a great impact on the firms as far as the book-to-market ratios are concerned. With beta values, the two firms namely the Tesco PLC and Intercontinental Hotels Group PLC can be able to familiarize with the book-to-market ratios and make necessary decisions concerning how they are going to make the investments. Also, beta values have an impact on the growth of the firms. “According to </w:t>
      </w:r>
      <w:proofErr w:type="spellStart"/>
      <w:r>
        <w:rPr>
          <w:rFonts w:ascii="Times New Roman" w:eastAsia="Times New Roman" w:hAnsi="Times New Roman" w:cs="Times New Roman"/>
          <w:color w:val="222222"/>
          <w:sz w:val="24"/>
          <w:szCs w:val="24"/>
          <w:highlight w:val="white"/>
        </w:rPr>
        <w:t>Corbet</w:t>
      </w:r>
      <w:proofErr w:type="spellEnd"/>
      <w:r>
        <w:rPr>
          <w:rFonts w:ascii="Times New Roman" w:eastAsia="Times New Roman" w:hAnsi="Times New Roman" w:cs="Times New Roman"/>
          <w:color w:val="222222"/>
          <w:sz w:val="24"/>
          <w:szCs w:val="24"/>
          <w:highlight w:val="white"/>
        </w:rPr>
        <w:t xml:space="preserve"> and McMullan (2018), l</w:t>
      </w:r>
      <w:r>
        <w:rPr>
          <w:rFonts w:ascii="Times New Roman" w:eastAsia="Times New Roman" w:hAnsi="Times New Roman" w:cs="Times New Roman"/>
          <w:sz w:val="24"/>
          <w:szCs w:val="24"/>
        </w:rPr>
        <w:t>ower beta values indicate that the firm’s growth is appropriate and thus the firm should either improve on the stock price or maintain at the current price”. For that reason, beta values have an impact of the overall well being of the firm financially by alerting on the current status of how the firm is fairing in the market.</w:t>
      </w:r>
    </w:p>
    <w:p w:rsidR="00BE0397" w:rsidRDefault="00FB3CE8">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3</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Organic growth is achieved when a firm decides to increase its outputs at the same time improving their internal sales. One of the aspects to note is that the profits, mergers, acquisitions and takeovers are not included in the organic growth. The reason as to why the aforementioned aspects are not included in the organic growth is due to the effect that they result in inorganic </w:t>
      </w:r>
      <w:r>
        <w:rPr>
          <w:rFonts w:ascii="Times New Roman" w:eastAsia="Times New Roman" w:hAnsi="Times New Roman" w:cs="Times New Roman"/>
          <w:sz w:val="24"/>
          <w:szCs w:val="24"/>
        </w:rPr>
        <w:lastRenderedPageBreak/>
        <w:t xml:space="preserve">growth thus being discarded with immediate effect. “One of the benefits of organic growth is that it enhances the firm to develop and grow from within, </w:t>
      </w:r>
      <w:r>
        <w:rPr>
          <w:rFonts w:ascii="Times New Roman" w:eastAsia="Times New Roman" w:hAnsi="Times New Roman" w:cs="Times New Roman"/>
          <w:color w:val="222222"/>
          <w:sz w:val="24"/>
          <w:szCs w:val="24"/>
          <w:highlight w:val="white"/>
        </w:rPr>
        <w:t>Vu (2016)”</w:t>
      </w:r>
      <w:r>
        <w:rPr>
          <w:rFonts w:ascii="Times New Roman" w:eastAsia="Times New Roman" w:hAnsi="Times New Roman" w:cs="Times New Roman"/>
          <w:sz w:val="24"/>
          <w:szCs w:val="24"/>
        </w:rPr>
        <w:t xml:space="preserve">. Such a strategy is important to the Tesco PLC since through deciding to utilize their ability to raise funds and generate cash will help the company to expand organically. As a result of using the organic growth strategy, the Tesco PLC investors will be able to see that the company in which they invested in is able to earn more which is in turn reflected in the high stock price over the years. At the end of the day, the Tesco PLC will enjoy an increased dividend payout which every investor of sound mind needs to support in all ways possible. </w:t>
      </w:r>
    </w:p>
    <w:p w:rsidR="00BE0397" w:rsidRPr="00A7401D" w:rsidRDefault="00FB3CE8" w:rsidP="00A7401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contrary, undertaking growth by acquisition is also another available growth strategy that the Tesco PLC can use to grow in the grocery sector. However, growth by acquisition usually works out best for the small enterprises as they combine efforts with others. In that case, the growth strategy by acquisition is not preferable and advisable for the Tesco PLC since it has already established its position in the market. “According to </w:t>
      </w:r>
      <w:r>
        <w:rPr>
          <w:rFonts w:ascii="Times New Roman" w:eastAsia="Times New Roman" w:hAnsi="Times New Roman" w:cs="Times New Roman"/>
          <w:color w:val="222222"/>
          <w:sz w:val="24"/>
          <w:szCs w:val="24"/>
          <w:highlight w:val="white"/>
        </w:rPr>
        <w:t xml:space="preserve">Wood et al. (2016), </w:t>
      </w:r>
      <w:r>
        <w:rPr>
          <w:rFonts w:ascii="Times New Roman" w:eastAsia="Times New Roman" w:hAnsi="Times New Roman" w:cs="Times New Roman"/>
          <w:sz w:val="24"/>
          <w:szCs w:val="24"/>
        </w:rPr>
        <w:t xml:space="preserve">what the firm should do in order to succeed and compete healthily with other firms the likes of intercontinental hotels group </w:t>
      </w:r>
      <w:r w:rsidR="00C66253">
        <w:rPr>
          <w:rFonts w:ascii="Times New Roman" w:eastAsia="Times New Roman" w:hAnsi="Times New Roman" w:cs="Times New Roman"/>
          <w:sz w:val="24"/>
          <w:szCs w:val="24"/>
        </w:rPr>
        <w:t>plc</w:t>
      </w:r>
      <w:r>
        <w:rPr>
          <w:rFonts w:ascii="Times New Roman" w:eastAsia="Times New Roman" w:hAnsi="Times New Roman" w:cs="Times New Roman"/>
          <w:sz w:val="24"/>
          <w:szCs w:val="24"/>
        </w:rPr>
        <w:t xml:space="preserve"> is to develop and grow from within through </w:t>
      </w:r>
      <w:r w:rsidR="00C66253">
        <w:rPr>
          <w:rFonts w:ascii="Times New Roman" w:eastAsia="Times New Roman" w:hAnsi="Times New Roman" w:cs="Times New Roman"/>
          <w:sz w:val="24"/>
          <w:szCs w:val="24"/>
        </w:rPr>
        <w:t>using what they have in hand”.  In addition, the strategy of organic growth is also less risky as compared to other methods that are involved in the process of a firm’s growth in terms of sales and marketing efforts. However, d</w:t>
      </w:r>
      <w:r>
        <w:rPr>
          <w:rFonts w:ascii="Times New Roman" w:eastAsia="Times New Roman" w:hAnsi="Times New Roman" w:cs="Times New Roman"/>
          <w:sz w:val="24"/>
          <w:szCs w:val="24"/>
        </w:rPr>
        <w:t>espite the fact that Tesco PLC should consider the organic growth</w:t>
      </w:r>
      <w:r w:rsidR="00C66253">
        <w:rPr>
          <w:rFonts w:ascii="Times New Roman" w:eastAsia="Times New Roman" w:hAnsi="Times New Roman" w:cs="Times New Roman"/>
          <w:sz w:val="24"/>
          <w:szCs w:val="24"/>
        </w:rPr>
        <w:t xml:space="preserve"> strategy, </w:t>
      </w:r>
      <w:r>
        <w:rPr>
          <w:rFonts w:ascii="Times New Roman" w:eastAsia="Times New Roman" w:hAnsi="Times New Roman" w:cs="Times New Roman"/>
          <w:sz w:val="24"/>
          <w:szCs w:val="24"/>
        </w:rPr>
        <w:t>growth through acquisition</w:t>
      </w:r>
      <w:r w:rsidR="00C662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w:t>
      </w:r>
      <w:r w:rsidR="00C66253">
        <w:rPr>
          <w:rFonts w:ascii="Times New Roman" w:eastAsia="Times New Roman" w:hAnsi="Times New Roman" w:cs="Times New Roman"/>
          <w:sz w:val="24"/>
          <w:szCs w:val="24"/>
        </w:rPr>
        <w:t xml:space="preserve"> also appropriate since it usually leads</w:t>
      </w:r>
      <w:r>
        <w:rPr>
          <w:rFonts w:ascii="Times New Roman" w:eastAsia="Times New Roman" w:hAnsi="Times New Roman" w:cs="Times New Roman"/>
          <w:sz w:val="24"/>
          <w:szCs w:val="24"/>
        </w:rPr>
        <w:t xml:space="preserve"> to quicker and cheaper expansion.</w:t>
      </w:r>
      <w:r w:rsidR="00812A11">
        <w:rPr>
          <w:rFonts w:ascii="Times New Roman" w:eastAsia="Times New Roman" w:hAnsi="Times New Roman" w:cs="Times New Roman"/>
          <w:sz w:val="24"/>
          <w:szCs w:val="24"/>
        </w:rPr>
        <w:t xml:space="preserve"> Economists </w:t>
      </w:r>
      <w:r>
        <w:rPr>
          <w:rFonts w:ascii="Times New Roman" w:eastAsia="Times New Roman" w:hAnsi="Times New Roman" w:cs="Times New Roman"/>
          <w:sz w:val="24"/>
          <w:szCs w:val="24"/>
        </w:rPr>
        <w:t>have encouraged the adoption of the growth through acquisition since it’s a two-way growth p</w:t>
      </w:r>
      <w:r w:rsidR="00812A11">
        <w:rPr>
          <w:rFonts w:ascii="Times New Roman" w:eastAsia="Times New Roman" w:hAnsi="Times New Roman" w:cs="Times New Roman"/>
          <w:sz w:val="24"/>
          <w:szCs w:val="24"/>
        </w:rPr>
        <w:t>rocess.</w:t>
      </w:r>
      <w:r w:rsidR="00C662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Tesco PLC </w:t>
      </w:r>
      <w:r w:rsidR="00812A11">
        <w:rPr>
          <w:rFonts w:ascii="Times New Roman" w:eastAsia="Times New Roman" w:hAnsi="Times New Roman" w:cs="Times New Roman"/>
          <w:sz w:val="24"/>
          <w:szCs w:val="24"/>
        </w:rPr>
        <w:t xml:space="preserve">however, </w:t>
      </w:r>
      <w:bookmarkStart w:id="2" w:name="_GoBack"/>
      <w:bookmarkEnd w:id="2"/>
      <w:r w:rsidR="00812A11">
        <w:rPr>
          <w:rFonts w:ascii="Times New Roman" w:eastAsia="Times New Roman" w:hAnsi="Times New Roman" w:cs="Times New Roman"/>
          <w:sz w:val="24"/>
          <w:szCs w:val="24"/>
        </w:rPr>
        <w:t xml:space="preserve">should </w:t>
      </w:r>
      <w:r>
        <w:rPr>
          <w:rFonts w:ascii="Times New Roman" w:eastAsia="Times New Roman" w:hAnsi="Times New Roman" w:cs="Times New Roman"/>
          <w:sz w:val="24"/>
          <w:szCs w:val="24"/>
        </w:rPr>
        <w:t xml:space="preserve">not in any way consider the growth by acquisition strategy since it is </w:t>
      </w:r>
      <w:r w:rsidR="00C66253">
        <w:rPr>
          <w:rFonts w:ascii="Times New Roman" w:eastAsia="Times New Roman" w:hAnsi="Times New Roman" w:cs="Times New Roman"/>
          <w:sz w:val="24"/>
          <w:szCs w:val="24"/>
        </w:rPr>
        <w:t>already established. Instead</w:t>
      </w:r>
      <w:r>
        <w:rPr>
          <w:rFonts w:ascii="Times New Roman" w:eastAsia="Times New Roman" w:hAnsi="Times New Roman" w:cs="Times New Roman"/>
          <w:sz w:val="24"/>
          <w:szCs w:val="24"/>
        </w:rPr>
        <w:t>, the company should consider the organic growth strategy since it has all it takes to expand from within.</w:t>
      </w:r>
    </w:p>
    <w:p w:rsidR="00BE0397" w:rsidRDefault="00FB3CE8">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Task 4</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a number of factors that have to be put into consideration if whether Tesco PLC should decide to use more debt or equity in order to finance their expansion. One of the factors to take into consideration is the risk. The risk is very crucial to consider as far as a firm is either using more debt or equity. “First, if Tesco PLC is to issue more debt in introducing a new computer system which it is believed will streamline its supply chain activities then it should first consider what will happen to their relationship with the borrowers if at any case they fail to repay, </w:t>
      </w:r>
      <w:proofErr w:type="spellStart"/>
      <w:r>
        <w:rPr>
          <w:rFonts w:ascii="Times New Roman" w:eastAsia="Times New Roman" w:hAnsi="Times New Roman" w:cs="Times New Roman"/>
          <w:color w:val="222222"/>
          <w:sz w:val="24"/>
          <w:szCs w:val="24"/>
          <w:highlight w:val="white"/>
        </w:rPr>
        <w:t>Pijper</w:t>
      </w:r>
      <w:proofErr w:type="spellEnd"/>
      <w:r>
        <w:rPr>
          <w:rFonts w:ascii="Times New Roman" w:eastAsia="Times New Roman" w:hAnsi="Times New Roman" w:cs="Times New Roman"/>
          <w:color w:val="222222"/>
          <w:sz w:val="24"/>
          <w:szCs w:val="24"/>
          <w:highlight w:val="white"/>
        </w:rPr>
        <w:t xml:space="preserve"> (2016)”</w:t>
      </w:r>
      <w:r>
        <w:rPr>
          <w:rFonts w:ascii="Times New Roman" w:eastAsia="Times New Roman" w:hAnsi="Times New Roman" w:cs="Times New Roman"/>
          <w:sz w:val="24"/>
          <w:szCs w:val="24"/>
        </w:rPr>
        <w:t xml:space="preserve">. On the other hand, when issuing more equity, in case the concerned parties do not follow the obligations and the commitments </w:t>
      </w:r>
      <w:proofErr w:type="gramStart"/>
      <w:r>
        <w:rPr>
          <w:rFonts w:ascii="Times New Roman" w:eastAsia="Times New Roman" w:hAnsi="Times New Roman" w:cs="Times New Roman"/>
          <w:sz w:val="24"/>
          <w:szCs w:val="24"/>
        </w:rPr>
        <w:t>laid</w:t>
      </w:r>
      <w:proofErr w:type="gramEnd"/>
      <w:r>
        <w:rPr>
          <w:rFonts w:ascii="Times New Roman" w:eastAsia="Times New Roman" w:hAnsi="Times New Roman" w:cs="Times New Roman"/>
          <w:sz w:val="24"/>
          <w:szCs w:val="24"/>
        </w:rPr>
        <w:t xml:space="preserve"> out, what are the necessary steps to be taken? All these questions have to be taken into consideration before choosing, either way, to finance the expansion and determine the best way to raise the long-term funds.</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the cost of finance to be incurred is also crucial for Tesco PLC to consider. If the cost of financing in introducing a new computer system which is believed will streamline its supply chain activities are much huge than the benefits to be enjoyed then the company should not take such a step. For instance, if the cost of finance to expand when using more debt is higher than that of issuing more equity, then Tesco PLC has the obligation to choose the latter. Such a strategy will help Tesco PLC to have a healthy way of financing as long as competition in the retail industry is concerned.</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 also comes in as another factor to consider when choosing the method to fund Tesco PLC expansion in introducing a new computer system which is believed will streamline its supply chain activities. According to </w:t>
      </w:r>
      <w:r>
        <w:rPr>
          <w:rFonts w:ascii="Times New Roman" w:eastAsia="Times New Roman" w:hAnsi="Times New Roman" w:cs="Times New Roman"/>
          <w:color w:val="222222"/>
          <w:sz w:val="24"/>
          <w:szCs w:val="24"/>
          <w:highlight w:val="white"/>
        </w:rPr>
        <w:t>Scott</w:t>
      </w:r>
      <w:r>
        <w:rPr>
          <w:rFonts w:ascii="Times New Roman" w:eastAsia="Times New Roman" w:hAnsi="Times New Roman" w:cs="Times New Roman"/>
          <w:sz w:val="24"/>
          <w:szCs w:val="24"/>
        </w:rPr>
        <w:t xml:space="preserve"> et al. (2018), by issuing more equity usually results to dilution of control in between the different stakeholders involved in the firm which is not </w:t>
      </w:r>
      <w:r>
        <w:rPr>
          <w:rFonts w:ascii="Times New Roman" w:eastAsia="Times New Roman" w:hAnsi="Times New Roman" w:cs="Times New Roman"/>
          <w:sz w:val="24"/>
          <w:szCs w:val="24"/>
        </w:rPr>
        <w:lastRenderedPageBreak/>
        <w:t>recommendable since every stakeholder has both be involved as they contribute in one way or another in the business. On the other hand, issuing more debt is also tricky since once the borrowers fail to repay back the debt the relationship between the two ceases.</w:t>
      </w:r>
    </w:p>
    <w:p w:rsidR="00BE0397" w:rsidRDefault="00FB3C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 but not least is the need to weigh whether the source of funding is long term or short term. Economists in the past have warned of both long-term and short-term funding. First, short-term funding may inconvenience the operations to be completed to the fullest and thus there is need to take precautions as far as Tesco PLC need to expand in introducing a new computer system which is believed will streamline its supply chain activities is concerned, </w:t>
      </w:r>
      <w:proofErr w:type="spellStart"/>
      <w:r>
        <w:rPr>
          <w:rFonts w:ascii="Times New Roman" w:eastAsia="Times New Roman" w:hAnsi="Times New Roman" w:cs="Times New Roman"/>
          <w:color w:val="222222"/>
          <w:sz w:val="24"/>
          <w:szCs w:val="24"/>
          <w:highlight w:val="white"/>
        </w:rPr>
        <w:t>Pijper</w:t>
      </w:r>
      <w:proofErr w:type="spellEnd"/>
      <w:r>
        <w:rPr>
          <w:rFonts w:ascii="Times New Roman" w:eastAsia="Times New Roman" w:hAnsi="Times New Roman" w:cs="Times New Roman"/>
          <w:color w:val="222222"/>
          <w:sz w:val="24"/>
          <w:szCs w:val="24"/>
          <w:highlight w:val="white"/>
        </w:rPr>
        <w:t xml:space="preserve"> (2016)</w:t>
      </w:r>
      <w:r>
        <w:rPr>
          <w:rFonts w:ascii="Times New Roman" w:eastAsia="Times New Roman" w:hAnsi="Times New Roman" w:cs="Times New Roman"/>
          <w:sz w:val="24"/>
          <w:szCs w:val="24"/>
        </w:rPr>
        <w:t>. On the other hand, long-term financing may also be hectic if the mode of financing involves borrowing and the like. For that reason, Tesco PLC should consider the mode of financing to expand that which is favorable and will not in any way interfere with the daily operations in the retail sector.</w:t>
      </w:r>
    </w:p>
    <w:p w:rsidR="00BE0397" w:rsidRDefault="00FB3CE8">
      <w:pPr>
        <w:spacing w:line="480" w:lineRule="auto"/>
        <w:rPr>
          <w:rFonts w:ascii="Times New Roman" w:eastAsia="Times New Roman" w:hAnsi="Times New Roman" w:cs="Times New Roman"/>
          <w:sz w:val="24"/>
          <w:szCs w:val="24"/>
        </w:rPr>
      </w:pPr>
      <w:r>
        <w:br w:type="page"/>
      </w:r>
    </w:p>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BE0397" w:rsidRDefault="00FB3CE8">
      <w:pPr>
        <w:spacing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Pr>
          <w:rFonts w:ascii="Times New Roman" w:eastAsia="Times New Roman" w:hAnsi="Times New Roman" w:cs="Times New Roman"/>
          <w:color w:val="222222"/>
          <w:sz w:val="24"/>
          <w:szCs w:val="24"/>
          <w:highlight w:val="white"/>
        </w:rPr>
        <w:t>Corbet</w:t>
      </w:r>
      <w:proofErr w:type="spellEnd"/>
      <w:r>
        <w:rPr>
          <w:rFonts w:ascii="Times New Roman" w:eastAsia="Times New Roman" w:hAnsi="Times New Roman" w:cs="Times New Roman"/>
          <w:color w:val="222222"/>
          <w:sz w:val="24"/>
          <w:szCs w:val="24"/>
          <w:highlight w:val="white"/>
        </w:rPr>
        <w:t>, S. and McMullan, C., 2018.</w:t>
      </w:r>
      <w:proofErr w:type="gramEnd"/>
      <w:r>
        <w:rPr>
          <w:rFonts w:ascii="Times New Roman" w:eastAsia="Times New Roman" w:hAnsi="Times New Roman" w:cs="Times New Roman"/>
          <w:color w:val="222222"/>
          <w:sz w:val="24"/>
          <w:szCs w:val="24"/>
          <w:highlight w:val="white"/>
        </w:rPr>
        <w:t xml:space="preserve"> Stock market reaction to irregular supermarket chain </w:t>
      </w:r>
      <w:proofErr w:type="spellStart"/>
      <w:r>
        <w:rPr>
          <w:rFonts w:ascii="Times New Roman" w:eastAsia="Times New Roman" w:hAnsi="Times New Roman" w:cs="Times New Roman"/>
          <w:color w:val="222222"/>
          <w:sz w:val="24"/>
          <w:szCs w:val="24"/>
          <w:highlight w:val="white"/>
        </w:rPr>
        <w:t>behaviour</w:t>
      </w:r>
      <w:proofErr w:type="spellEnd"/>
      <w:r>
        <w:rPr>
          <w:rFonts w:ascii="Times New Roman" w:eastAsia="Times New Roman" w:hAnsi="Times New Roman" w:cs="Times New Roman"/>
          <w:color w:val="222222"/>
          <w:sz w:val="24"/>
          <w:szCs w:val="24"/>
          <w:highlight w:val="white"/>
        </w:rPr>
        <w:t>: An investigation in the retail sectors of Ireland and the United Kingdom. </w:t>
      </w:r>
      <w:proofErr w:type="gramStart"/>
      <w:r>
        <w:rPr>
          <w:rFonts w:ascii="Times New Roman" w:eastAsia="Times New Roman" w:hAnsi="Times New Roman" w:cs="Times New Roman"/>
          <w:i/>
          <w:color w:val="222222"/>
          <w:sz w:val="24"/>
          <w:szCs w:val="24"/>
          <w:highlight w:val="white"/>
        </w:rPr>
        <w:t>Journal of Retailing and Consumer Services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43</w:t>
      </w:r>
      <w:r>
        <w:rPr>
          <w:rFonts w:ascii="Times New Roman" w:eastAsia="Times New Roman" w:hAnsi="Times New Roman" w:cs="Times New Roman"/>
          <w:color w:val="222222"/>
          <w:sz w:val="24"/>
          <w:szCs w:val="24"/>
          <w:highlight w:val="white"/>
        </w:rPr>
        <w:t>, pp.20-29.</w:t>
      </w:r>
      <w:proofErr w:type="gramEnd"/>
    </w:p>
    <w:p w:rsidR="00BE0397" w:rsidRDefault="00FB3CE8">
      <w:pPr>
        <w:spacing w:line="480" w:lineRule="auto"/>
        <w:ind w:left="720" w:hanging="72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color w:val="222222"/>
          <w:sz w:val="24"/>
          <w:szCs w:val="24"/>
          <w:highlight w:val="white"/>
        </w:rPr>
        <w:t>Dey</w:t>
      </w:r>
      <w:proofErr w:type="spellEnd"/>
      <w:r>
        <w:rPr>
          <w:rFonts w:ascii="Times New Roman" w:eastAsia="Times New Roman" w:hAnsi="Times New Roman" w:cs="Times New Roman"/>
          <w:color w:val="222222"/>
          <w:sz w:val="24"/>
          <w:szCs w:val="24"/>
          <w:highlight w:val="white"/>
        </w:rPr>
        <w:t xml:space="preserve">, K. and </w:t>
      </w:r>
      <w:proofErr w:type="spellStart"/>
      <w:r>
        <w:rPr>
          <w:rFonts w:ascii="Times New Roman" w:eastAsia="Times New Roman" w:hAnsi="Times New Roman" w:cs="Times New Roman"/>
          <w:color w:val="222222"/>
          <w:sz w:val="24"/>
          <w:szCs w:val="24"/>
          <w:highlight w:val="white"/>
        </w:rPr>
        <w:t>Saha</w:t>
      </w:r>
      <w:proofErr w:type="spellEnd"/>
      <w:r>
        <w:rPr>
          <w:rFonts w:ascii="Times New Roman" w:eastAsia="Times New Roman" w:hAnsi="Times New Roman" w:cs="Times New Roman"/>
          <w:color w:val="222222"/>
          <w:sz w:val="24"/>
          <w:szCs w:val="24"/>
          <w:highlight w:val="white"/>
        </w:rPr>
        <w:t>, S., 2018.</w:t>
      </w:r>
      <w:proofErr w:type="gramEnd"/>
      <w:r>
        <w:rPr>
          <w:rFonts w:ascii="Times New Roman" w:eastAsia="Times New Roman" w:hAnsi="Times New Roman" w:cs="Times New Roman"/>
          <w:color w:val="222222"/>
          <w:sz w:val="24"/>
          <w:szCs w:val="24"/>
          <w:highlight w:val="white"/>
        </w:rPr>
        <w:t xml:space="preserve"> Influence of procurement decisions in two-period green supply chain. </w:t>
      </w:r>
      <w:proofErr w:type="gramStart"/>
      <w:r>
        <w:rPr>
          <w:rFonts w:ascii="Times New Roman" w:eastAsia="Times New Roman" w:hAnsi="Times New Roman" w:cs="Times New Roman"/>
          <w:i/>
          <w:color w:val="222222"/>
          <w:sz w:val="24"/>
          <w:szCs w:val="24"/>
          <w:highlight w:val="white"/>
        </w:rPr>
        <w:t>Journal of Cleaner Production</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190</w:t>
      </w:r>
      <w:r>
        <w:rPr>
          <w:rFonts w:ascii="Times New Roman" w:eastAsia="Times New Roman" w:hAnsi="Times New Roman" w:cs="Times New Roman"/>
          <w:color w:val="222222"/>
          <w:sz w:val="24"/>
          <w:szCs w:val="24"/>
          <w:highlight w:val="white"/>
        </w:rPr>
        <w:t>, pp.388-402.</w:t>
      </w:r>
      <w:proofErr w:type="gramEnd"/>
    </w:p>
    <w:p w:rsidR="00BE0397" w:rsidRDefault="00FB3CE8">
      <w:pPr>
        <w:spacing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Pr>
          <w:rFonts w:ascii="Times New Roman" w:eastAsia="Times New Roman" w:hAnsi="Times New Roman" w:cs="Times New Roman"/>
          <w:color w:val="222222"/>
          <w:sz w:val="24"/>
          <w:szCs w:val="24"/>
          <w:highlight w:val="white"/>
        </w:rPr>
        <w:t>Pijper</w:t>
      </w:r>
      <w:proofErr w:type="spellEnd"/>
      <w:r>
        <w:rPr>
          <w:rFonts w:ascii="Times New Roman" w:eastAsia="Times New Roman" w:hAnsi="Times New Roman" w:cs="Times New Roman"/>
          <w:color w:val="222222"/>
          <w:sz w:val="24"/>
          <w:szCs w:val="24"/>
          <w:highlight w:val="white"/>
        </w:rPr>
        <w:t>, T., 2016.</w:t>
      </w:r>
      <w:proofErr w:type="gramEnd"/>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 xml:space="preserve">Creative accounting: </w:t>
      </w:r>
      <w:proofErr w:type="gramStart"/>
      <w:r>
        <w:rPr>
          <w:rFonts w:ascii="Times New Roman" w:eastAsia="Times New Roman" w:hAnsi="Times New Roman" w:cs="Times New Roman"/>
          <w:i/>
          <w:color w:val="222222"/>
          <w:sz w:val="24"/>
          <w:szCs w:val="24"/>
          <w:highlight w:val="white"/>
        </w:rPr>
        <w:t>The</w:t>
      </w:r>
      <w:proofErr w:type="gramEnd"/>
      <w:r>
        <w:rPr>
          <w:rFonts w:ascii="Times New Roman" w:eastAsia="Times New Roman" w:hAnsi="Times New Roman" w:cs="Times New Roman"/>
          <w:i/>
          <w:color w:val="222222"/>
          <w:sz w:val="24"/>
          <w:szCs w:val="24"/>
          <w:highlight w:val="white"/>
        </w:rPr>
        <w:t xml:space="preserve"> effectiveness of financial reporting in the UK</w:t>
      </w:r>
      <w:r>
        <w:rPr>
          <w:rFonts w:ascii="Times New Roman" w:eastAsia="Times New Roman" w:hAnsi="Times New Roman" w:cs="Times New Roman"/>
          <w:color w:val="222222"/>
          <w:sz w:val="24"/>
          <w:szCs w:val="24"/>
          <w:highlight w:val="white"/>
        </w:rPr>
        <w:t xml:space="preserve">. </w:t>
      </w:r>
      <w:proofErr w:type="gramStart"/>
      <w:r>
        <w:rPr>
          <w:rFonts w:ascii="Times New Roman" w:eastAsia="Times New Roman" w:hAnsi="Times New Roman" w:cs="Times New Roman"/>
          <w:color w:val="222222"/>
          <w:sz w:val="24"/>
          <w:szCs w:val="24"/>
          <w:highlight w:val="white"/>
        </w:rPr>
        <w:t>Springer.</w:t>
      </w:r>
      <w:proofErr w:type="gramEnd"/>
    </w:p>
    <w:p w:rsidR="00BE0397" w:rsidRDefault="00FB3CE8">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Scott, C., Lundgren, H. and Thompson, P., 2018. Guide to Finance in Supply Chain Management. </w:t>
      </w:r>
      <w:proofErr w:type="gramStart"/>
      <w:r>
        <w:rPr>
          <w:rFonts w:ascii="Times New Roman" w:eastAsia="Times New Roman" w:hAnsi="Times New Roman" w:cs="Times New Roman"/>
          <w:color w:val="222222"/>
          <w:sz w:val="24"/>
          <w:szCs w:val="24"/>
          <w:highlight w:val="white"/>
        </w:rPr>
        <w:t>In </w:t>
      </w:r>
      <w:r>
        <w:rPr>
          <w:rFonts w:ascii="Times New Roman" w:eastAsia="Times New Roman" w:hAnsi="Times New Roman" w:cs="Times New Roman"/>
          <w:i/>
          <w:color w:val="222222"/>
          <w:sz w:val="24"/>
          <w:szCs w:val="24"/>
          <w:highlight w:val="white"/>
        </w:rPr>
        <w:t>Guide to Supply Chain Management</w:t>
      </w:r>
      <w:r>
        <w:rPr>
          <w:rFonts w:ascii="Times New Roman" w:eastAsia="Times New Roman" w:hAnsi="Times New Roman" w:cs="Times New Roman"/>
          <w:color w:val="222222"/>
          <w:sz w:val="24"/>
          <w:szCs w:val="24"/>
          <w:highlight w:val="white"/>
        </w:rPr>
        <w:t> (pp. 161-174).</w:t>
      </w:r>
      <w:proofErr w:type="gramEnd"/>
      <w:r>
        <w:rPr>
          <w:rFonts w:ascii="Times New Roman" w:eastAsia="Times New Roman" w:hAnsi="Times New Roman" w:cs="Times New Roman"/>
          <w:color w:val="222222"/>
          <w:sz w:val="24"/>
          <w:szCs w:val="24"/>
          <w:highlight w:val="white"/>
        </w:rPr>
        <w:t xml:space="preserve"> </w:t>
      </w:r>
      <w:proofErr w:type="gramStart"/>
      <w:r>
        <w:rPr>
          <w:rFonts w:ascii="Times New Roman" w:eastAsia="Times New Roman" w:hAnsi="Times New Roman" w:cs="Times New Roman"/>
          <w:color w:val="222222"/>
          <w:sz w:val="24"/>
          <w:szCs w:val="24"/>
          <w:highlight w:val="white"/>
        </w:rPr>
        <w:t>Springer, Cham.</w:t>
      </w:r>
      <w:proofErr w:type="gramEnd"/>
    </w:p>
    <w:p w:rsidR="00BE0397" w:rsidRDefault="00FB3CE8">
      <w:pPr>
        <w:spacing w:line="480" w:lineRule="auto"/>
        <w:ind w:left="720" w:hanging="720"/>
        <w:rPr>
          <w:rFonts w:ascii="Times New Roman" w:eastAsia="Times New Roman" w:hAnsi="Times New Roman" w:cs="Times New Roman"/>
          <w:color w:val="222222"/>
          <w:sz w:val="24"/>
          <w:szCs w:val="24"/>
          <w:highlight w:val="white"/>
        </w:rPr>
      </w:pPr>
      <w:proofErr w:type="gramStart"/>
      <w:r>
        <w:rPr>
          <w:rFonts w:ascii="Times New Roman" w:eastAsia="Times New Roman" w:hAnsi="Times New Roman" w:cs="Times New Roman"/>
          <w:color w:val="222222"/>
          <w:sz w:val="24"/>
          <w:szCs w:val="24"/>
          <w:highlight w:val="white"/>
        </w:rPr>
        <w:t>Vu, M., 2016.</w:t>
      </w:r>
      <w:proofErr w:type="gramEnd"/>
      <w:r>
        <w:rPr>
          <w:rFonts w:ascii="Times New Roman" w:eastAsia="Times New Roman" w:hAnsi="Times New Roman" w:cs="Times New Roman"/>
          <w:color w:val="222222"/>
          <w:sz w:val="24"/>
          <w:szCs w:val="24"/>
          <w:highlight w:val="white"/>
        </w:rPr>
        <w:t xml:space="preserve"> IS THE BALANCED SCORECARD USEFUL IN A COMPETITIVE INDUSTRY</w:t>
      </w:r>
      <w:proofErr w:type="gramStart"/>
      <w:r>
        <w:rPr>
          <w:rFonts w:ascii="Times New Roman" w:eastAsia="Times New Roman" w:hAnsi="Times New Roman" w:cs="Times New Roman"/>
          <w:color w:val="222222"/>
          <w:sz w:val="24"/>
          <w:szCs w:val="24"/>
          <w:highlight w:val="white"/>
        </w:rPr>
        <w:t>?:</w:t>
      </w:r>
      <w:proofErr w:type="gramEnd"/>
      <w:r>
        <w:rPr>
          <w:rFonts w:ascii="Times New Roman" w:eastAsia="Times New Roman" w:hAnsi="Times New Roman" w:cs="Times New Roman"/>
          <w:color w:val="222222"/>
          <w:sz w:val="24"/>
          <w:szCs w:val="24"/>
          <w:highlight w:val="white"/>
        </w:rPr>
        <w:t xml:space="preserve"> Using Tesco PLC as a case study in the UK grocery retail industry.</w:t>
      </w:r>
    </w:p>
    <w:p w:rsidR="00BE0397" w:rsidRDefault="00FB3CE8">
      <w:pPr>
        <w:spacing w:line="48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color w:val="222222"/>
          <w:sz w:val="24"/>
          <w:szCs w:val="24"/>
          <w:highlight w:val="white"/>
        </w:rPr>
        <w:t>Wood, S., Wrigley, N. and Coe, N.M., 2016.</w:t>
      </w:r>
      <w:proofErr w:type="gramEnd"/>
      <w:r>
        <w:rPr>
          <w:rFonts w:ascii="Times New Roman" w:eastAsia="Times New Roman" w:hAnsi="Times New Roman" w:cs="Times New Roman"/>
          <w:color w:val="222222"/>
          <w:sz w:val="24"/>
          <w:szCs w:val="24"/>
          <w:highlight w:val="white"/>
        </w:rPr>
        <w:t xml:space="preserve"> Capital discipline and financial market relations in retail globalization: insights from the case of Tesco plc. </w:t>
      </w:r>
      <w:proofErr w:type="gramStart"/>
      <w:r>
        <w:rPr>
          <w:rFonts w:ascii="Times New Roman" w:eastAsia="Times New Roman" w:hAnsi="Times New Roman" w:cs="Times New Roman"/>
          <w:i/>
          <w:color w:val="222222"/>
          <w:sz w:val="24"/>
          <w:szCs w:val="24"/>
          <w:highlight w:val="white"/>
        </w:rPr>
        <w:t>Journal of Economic Geography</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17</w:t>
      </w:r>
      <w:r>
        <w:rPr>
          <w:rFonts w:ascii="Times New Roman" w:eastAsia="Times New Roman" w:hAnsi="Times New Roman" w:cs="Times New Roman"/>
          <w:color w:val="222222"/>
          <w:sz w:val="24"/>
          <w:szCs w:val="24"/>
          <w:highlight w:val="white"/>
        </w:rPr>
        <w:t>(1), pp.31-57.</w:t>
      </w:r>
      <w:proofErr w:type="gramEnd"/>
    </w:p>
    <w:sectPr w:rsidR="00BE0397" w:rsidSect="00AC2ED1">
      <w:headerReference w:type="default" r:id="rId6"/>
      <w:headerReference w:type="firs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3EC" w:rsidRDefault="008B13EC">
      <w:pPr>
        <w:spacing w:after="0" w:line="240" w:lineRule="auto"/>
      </w:pPr>
      <w:r>
        <w:separator/>
      </w:r>
    </w:p>
  </w:endnote>
  <w:endnote w:type="continuationSeparator" w:id="0">
    <w:p w:rsidR="008B13EC" w:rsidRDefault="008B13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3EC" w:rsidRDefault="008B13EC">
      <w:pPr>
        <w:spacing w:after="0" w:line="240" w:lineRule="auto"/>
      </w:pPr>
      <w:r>
        <w:separator/>
      </w:r>
    </w:p>
  </w:footnote>
  <w:footnote w:type="continuationSeparator" w:id="0">
    <w:p w:rsidR="008B13EC" w:rsidRDefault="008B13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97" w:rsidRDefault="00FB3C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Strategic and Financial Making Decision </w:t>
    </w:r>
    <w:r w:rsidR="00AC2ED1">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AC2ED1">
      <w:rPr>
        <w:rFonts w:ascii="Times New Roman" w:eastAsia="Times New Roman" w:hAnsi="Times New Roman" w:cs="Times New Roman"/>
        <w:sz w:val="24"/>
        <w:szCs w:val="24"/>
      </w:rPr>
      <w:fldChar w:fldCharType="separate"/>
    </w:r>
    <w:r w:rsidR="00A7401D">
      <w:rPr>
        <w:rFonts w:ascii="Times New Roman" w:eastAsia="Times New Roman" w:hAnsi="Times New Roman" w:cs="Times New Roman"/>
        <w:noProof/>
        <w:sz w:val="24"/>
        <w:szCs w:val="24"/>
      </w:rPr>
      <w:t>7</w:t>
    </w:r>
    <w:r w:rsidR="00AC2ED1">
      <w:rPr>
        <w:rFonts w:ascii="Times New Roman" w:eastAsia="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97" w:rsidRDefault="00BE039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E0397"/>
    <w:rsid w:val="0014729D"/>
    <w:rsid w:val="00812A11"/>
    <w:rsid w:val="008B13EC"/>
    <w:rsid w:val="00A7401D"/>
    <w:rsid w:val="00AC2ED1"/>
    <w:rsid w:val="00BE0397"/>
    <w:rsid w:val="00C66253"/>
    <w:rsid w:val="00FB3C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60D"/>
  </w:style>
  <w:style w:type="paragraph" w:styleId="Heading1">
    <w:name w:val="heading 1"/>
    <w:basedOn w:val="Normal"/>
    <w:next w:val="Normal"/>
    <w:rsid w:val="00365718"/>
    <w:pPr>
      <w:keepNext/>
      <w:keepLines/>
      <w:spacing w:before="480" w:after="120"/>
      <w:outlineLvl w:val="0"/>
    </w:pPr>
    <w:rPr>
      <w:b/>
      <w:sz w:val="48"/>
      <w:szCs w:val="48"/>
    </w:rPr>
  </w:style>
  <w:style w:type="paragraph" w:styleId="Heading2">
    <w:name w:val="heading 2"/>
    <w:basedOn w:val="Normal"/>
    <w:next w:val="Normal"/>
    <w:rsid w:val="00365718"/>
    <w:pPr>
      <w:keepNext/>
      <w:keepLines/>
      <w:spacing w:before="360" w:after="80"/>
      <w:outlineLvl w:val="1"/>
    </w:pPr>
    <w:rPr>
      <w:b/>
      <w:sz w:val="36"/>
      <w:szCs w:val="36"/>
    </w:rPr>
  </w:style>
  <w:style w:type="paragraph" w:styleId="Heading3">
    <w:name w:val="heading 3"/>
    <w:basedOn w:val="Normal"/>
    <w:next w:val="Normal"/>
    <w:rsid w:val="00365718"/>
    <w:pPr>
      <w:keepNext/>
      <w:keepLines/>
      <w:spacing w:before="280" w:after="80"/>
      <w:outlineLvl w:val="2"/>
    </w:pPr>
    <w:rPr>
      <w:b/>
      <w:sz w:val="28"/>
      <w:szCs w:val="28"/>
    </w:rPr>
  </w:style>
  <w:style w:type="paragraph" w:styleId="Heading4">
    <w:name w:val="heading 4"/>
    <w:basedOn w:val="Normal"/>
    <w:next w:val="Normal"/>
    <w:rsid w:val="00365718"/>
    <w:pPr>
      <w:keepNext/>
      <w:keepLines/>
      <w:spacing w:before="240" w:after="40"/>
      <w:outlineLvl w:val="3"/>
    </w:pPr>
    <w:rPr>
      <w:b/>
      <w:sz w:val="24"/>
      <w:szCs w:val="24"/>
    </w:rPr>
  </w:style>
  <w:style w:type="paragraph" w:styleId="Heading5">
    <w:name w:val="heading 5"/>
    <w:basedOn w:val="Normal"/>
    <w:next w:val="Normal"/>
    <w:rsid w:val="00365718"/>
    <w:pPr>
      <w:keepNext/>
      <w:keepLines/>
      <w:spacing w:before="220" w:after="40"/>
      <w:outlineLvl w:val="4"/>
    </w:pPr>
    <w:rPr>
      <w:b/>
    </w:rPr>
  </w:style>
  <w:style w:type="paragraph" w:styleId="Heading6">
    <w:name w:val="heading 6"/>
    <w:basedOn w:val="Normal"/>
    <w:next w:val="Normal"/>
    <w:rsid w:val="0036571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65718"/>
    <w:pPr>
      <w:keepNext/>
      <w:keepLines/>
      <w:spacing w:before="480" w:after="120"/>
    </w:pPr>
    <w:rPr>
      <w:b/>
      <w:sz w:val="72"/>
      <w:szCs w:val="72"/>
    </w:rPr>
  </w:style>
  <w:style w:type="paragraph" w:styleId="Header">
    <w:name w:val="header"/>
    <w:basedOn w:val="Normal"/>
    <w:link w:val="HeaderChar"/>
    <w:uiPriority w:val="99"/>
    <w:unhideWhenUsed/>
    <w:rsid w:val="00235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E0B"/>
  </w:style>
  <w:style w:type="paragraph" w:styleId="Footer">
    <w:name w:val="footer"/>
    <w:basedOn w:val="Normal"/>
    <w:link w:val="FooterChar"/>
    <w:uiPriority w:val="99"/>
    <w:semiHidden/>
    <w:unhideWhenUsed/>
    <w:rsid w:val="00235E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5E0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65602"/>
    <w:pPr>
      <w:spacing w:line="240" w:lineRule="auto"/>
    </w:pPr>
    <w:rPr>
      <w:sz w:val="20"/>
      <w:szCs w:val="20"/>
    </w:rPr>
  </w:style>
  <w:style w:type="character" w:customStyle="1" w:styleId="CommentTextChar">
    <w:name w:val="Comment Text Char"/>
    <w:basedOn w:val="DefaultParagraphFont"/>
    <w:link w:val="CommentText"/>
    <w:uiPriority w:val="99"/>
    <w:semiHidden/>
    <w:rsid w:val="00265602"/>
    <w:rPr>
      <w:sz w:val="20"/>
      <w:szCs w:val="20"/>
    </w:rPr>
  </w:style>
  <w:style w:type="paragraph" w:styleId="BalloonText">
    <w:name w:val="Balloon Text"/>
    <w:basedOn w:val="Normal"/>
    <w:link w:val="BalloonTextChar"/>
    <w:uiPriority w:val="99"/>
    <w:semiHidden/>
    <w:unhideWhenUsed/>
    <w:rsid w:val="00012B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B20"/>
    <w:rPr>
      <w:rFonts w:ascii="Tahoma" w:hAnsi="Tahoma" w:cs="Tahoma"/>
      <w:sz w:val="16"/>
      <w:szCs w:val="16"/>
    </w:rPr>
  </w:style>
  <w:style w:type="paragraph" w:styleId="Subtitle">
    <w:name w:val="Subtitle"/>
    <w:basedOn w:val="Normal"/>
    <w:next w:val="Normal"/>
    <w:rsid w:val="00AC2ED1"/>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E65F3B"/>
    <w:rPr>
      <w:color w:val="808080"/>
    </w:rPr>
  </w:style>
  <w:style w:type="table" w:styleId="TableGrid">
    <w:name w:val="Table Grid"/>
    <w:basedOn w:val="TableNormal"/>
    <w:uiPriority w:val="39"/>
    <w:rsid w:val="008961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
    <w:basedOn w:val="TableNormal"/>
    <w:rsid w:val="00AC2ED1"/>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1762</Words>
  <Characters>10045</Characters>
  <Application>Microsoft Office Word</Application>
  <DocSecurity>0</DocSecurity>
  <Lines>83</Lines>
  <Paragraphs>23</Paragraphs>
  <ScaleCrop>false</ScaleCrop>
  <Company/>
  <LinksUpToDate>false</LinksUpToDate>
  <CharactersWithSpaces>11784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mwaura</cp:lastModifiedBy>
  <cp:revision>4</cp:revision>
  <dcterms:created xsi:type="dcterms:W3CDTF">2018-08-13T16:39:00Z</dcterms:created>
  <dcterms:modified xsi:type="dcterms:W3CDTF">2018-08-14T02:58:00Z</dcterms:modified>
</cp:coreProperties>
</file>